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947890" w:rsidRDefault="00947890" w:rsidP="00947890">
      <w:pPr>
        <w:pStyle w:val="2"/>
      </w:pPr>
      <w:r w:rsidRPr="006B7EA3">
        <w:t>Έργο: «</w:t>
      </w:r>
      <w:r w:rsidRPr="002231A2">
        <w:rPr>
          <w:rFonts w:cstheme="minorHAnsi"/>
        </w:rPr>
        <w:t>Πεντόμινο και συμμετρία</w:t>
      </w:r>
      <w:r w:rsidRPr="006B7EA3">
        <w:t>»</w:t>
      </w:r>
    </w:p>
    <w:p w:rsidR="00947890" w:rsidRPr="00947890" w:rsidRDefault="00947890" w:rsidP="00947890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947890" w:rsidRPr="005C184C" w:rsidTr="00C27AE5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05D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85702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Μετασχηματιστικές δράσεις: οπτικοποίηση, αναπαράσταση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BA605D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</w:t>
            </w:r>
            <w:r w:rsidR="00947890"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ολλαπλά σημεία ‘εισόδου’, ποικιλία προσεγγίσεων/ στρατηγικών επίλυσης, πλαίσιο επ</w:t>
            </w:r>
            <w:r w:rsidR="00947890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προσβάσιμο σε όλους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BA605D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BA605D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 w:rsidR="00BA605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Μετασχηματισμοί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05D" w:rsidRPr="005C184C" w:rsidTr="00C27AE5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Μετασχηματισμοί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05D" w:rsidRPr="005C184C" w:rsidTr="00C27AE5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05D" w:rsidRPr="005C184C" w:rsidTr="00C27AE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Χειραπτικό υλικό: </w:t>
            </w:r>
            <w:r w:rsidR="00B0776F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πεντόμινο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,</w:t>
            </w:r>
            <w:r w:rsidR="00B0776F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σπάγκοι, καθρεπτάκια,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τετραγωνισμένος καμβάς</w:t>
            </w:r>
          </w:p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BA605D" w:rsidRPr="005C184C" w:rsidTr="00C27AE5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BA605D" w:rsidRPr="005C184C" w:rsidTr="00C27AE5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7890" w:rsidRPr="005C184C" w:rsidRDefault="00947890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2D1F0A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Ατομικό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7890" w:rsidRPr="005C184C" w:rsidRDefault="00947890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2D1F0A" w:rsidRDefault="002D1F0A" w:rsidP="00947890">
      <w:pPr>
        <w:rPr>
          <w:rFonts w:cstheme="minorHAnsi"/>
          <w:i/>
        </w:rPr>
      </w:pPr>
    </w:p>
    <w:p w:rsidR="00947890" w:rsidRPr="00C73330" w:rsidRDefault="00947890" w:rsidP="00947890">
      <w:pPr>
        <w:rPr>
          <w:rFonts w:cstheme="minorHAnsi"/>
          <w:i/>
        </w:rPr>
      </w:pPr>
      <w:r w:rsidRPr="002231A2">
        <w:rPr>
          <w:rFonts w:cstheme="minorHAnsi"/>
          <w:i/>
        </w:rPr>
        <w:t xml:space="preserve">(Ο εκπαιδευτικός μοιράζει στους μαθητές συλλογές από πεντόμινο, σπάγκους, καθρεπτάκια και τετραγωνισμένους καμβάδες, κατά προτίμηση συμβατούς ως προς τις διαστάσεις με τα κομμάτια Πεντόμινο.) </w:t>
      </w:r>
    </w:p>
    <w:p w:rsidR="00947890" w:rsidRDefault="00947890" w:rsidP="00947890">
      <w:pPr>
        <w:pStyle w:val="a8"/>
        <w:numPr>
          <w:ilvl w:val="0"/>
          <w:numId w:val="10"/>
        </w:numPr>
        <w:rPr>
          <w:rFonts w:cstheme="minorHAnsi"/>
        </w:rPr>
      </w:pPr>
      <w:r w:rsidRPr="007E7575">
        <w:rPr>
          <w:rFonts w:cstheme="minorHAnsi"/>
        </w:rPr>
        <w:t xml:space="preserve">Βρείτε τα κομμάτια του πεντόμινο που έχουν άξονα συμμετρίας. </w:t>
      </w:r>
      <w:r>
        <w:rPr>
          <w:rFonts w:cstheme="minorHAnsi"/>
        </w:rPr>
        <w:t>Μπορείτε να χρησιμοποιήσετε τους</w:t>
      </w:r>
      <w:r w:rsidRPr="007E7575">
        <w:rPr>
          <w:rFonts w:cstheme="minorHAnsi"/>
        </w:rPr>
        <w:t xml:space="preserve"> σπάγκους ως άξονες συμμετρίας</w:t>
      </w:r>
      <w:r>
        <w:rPr>
          <w:rFonts w:cstheme="minorHAnsi"/>
        </w:rPr>
        <w:t xml:space="preserve"> και τα καθρεφτάκια</w:t>
      </w:r>
      <w:r w:rsidRPr="007E7575">
        <w:rPr>
          <w:rFonts w:cstheme="minorHAnsi"/>
        </w:rPr>
        <w:t>,</w:t>
      </w:r>
      <w:r>
        <w:rPr>
          <w:rFonts w:cstheme="minorHAnsi"/>
        </w:rPr>
        <w:t xml:space="preserve"> αλλά και να διπλώσετε</w:t>
      </w:r>
      <w:r w:rsidR="002D1F0A">
        <w:rPr>
          <w:rFonts w:cstheme="minorHAnsi"/>
        </w:rPr>
        <w:t>,</w:t>
      </w:r>
      <w:r>
        <w:rPr>
          <w:rFonts w:cstheme="minorHAnsi"/>
        </w:rPr>
        <w:t xml:space="preserve"> για να βεβαιωθείτε σχετικά με το αν το συγκεκριμένο κομμάτι πεντόμινο έχει άξονα συμμετρίας</w:t>
      </w:r>
      <w:r w:rsidRPr="007E7575">
        <w:rPr>
          <w:rFonts w:cstheme="minorHAnsi"/>
        </w:rPr>
        <w:t xml:space="preserve">. </w:t>
      </w:r>
    </w:p>
    <w:p w:rsidR="00947890" w:rsidRDefault="00947890" w:rsidP="00947890">
      <w:pPr>
        <w:pStyle w:val="a8"/>
        <w:rPr>
          <w:rFonts w:cstheme="minorHAnsi"/>
        </w:rPr>
      </w:pPr>
    </w:p>
    <w:p w:rsidR="00947890" w:rsidRDefault="00947890" w:rsidP="00947890">
      <w:pPr>
        <w:pStyle w:val="a8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lastRenderedPageBreak/>
        <w:t>Να μεταφέρετε</w:t>
      </w:r>
      <w:r w:rsidRPr="007E7575">
        <w:rPr>
          <w:rFonts w:cstheme="minorHAnsi"/>
        </w:rPr>
        <w:t xml:space="preserve"> στον καμβά τα κομμάτια του πεντόμινο που έχουν άξον</w:t>
      </w:r>
      <w:r>
        <w:rPr>
          <w:rFonts w:cstheme="minorHAnsi"/>
        </w:rPr>
        <w:t>ες</w:t>
      </w:r>
      <w:r w:rsidRPr="007E7575">
        <w:rPr>
          <w:rFonts w:cstheme="minorHAnsi"/>
        </w:rPr>
        <w:t xml:space="preserve"> συμμετρίας </w:t>
      </w:r>
      <w:r>
        <w:rPr>
          <w:rFonts w:cstheme="minorHAnsi"/>
        </w:rPr>
        <w:t xml:space="preserve">και </w:t>
      </w:r>
      <w:r w:rsidR="002D1F0A">
        <w:rPr>
          <w:rFonts w:cstheme="minorHAnsi"/>
        </w:rPr>
        <w:t xml:space="preserve">να </w:t>
      </w:r>
      <w:r>
        <w:rPr>
          <w:rFonts w:cstheme="minorHAnsi"/>
        </w:rPr>
        <w:t xml:space="preserve">σχεδιάσετε σε καθένα από </w:t>
      </w:r>
      <w:r w:rsidRPr="007E7575">
        <w:rPr>
          <w:rFonts w:cstheme="minorHAnsi"/>
        </w:rPr>
        <w:t>αυτά ένα</w:t>
      </w:r>
      <w:r>
        <w:rPr>
          <w:rFonts w:cstheme="minorHAnsi"/>
        </w:rPr>
        <w:t>ν</w:t>
      </w:r>
      <w:r w:rsidRPr="007E7575">
        <w:rPr>
          <w:rFonts w:cstheme="minorHAnsi"/>
        </w:rPr>
        <w:t xml:space="preserve"> τουλάχιστον άξονα συμμετρίας.</w:t>
      </w:r>
    </w:p>
    <w:p w:rsidR="00947890" w:rsidRPr="00203460" w:rsidRDefault="00947890" w:rsidP="00947890">
      <w:pPr>
        <w:pStyle w:val="a8"/>
        <w:rPr>
          <w:rFonts w:cstheme="minorHAnsi"/>
        </w:rPr>
      </w:pPr>
    </w:p>
    <w:p w:rsidR="00947890" w:rsidRDefault="00947890" w:rsidP="00947890">
      <w:pPr>
        <w:pStyle w:val="a8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Να συγκρίνετε τα αποτελέσματα της εργασίας σας με τα αποτελέσματα των άλλων ομάδων. Υπάρχουν διαφορές; Ποιες;</w:t>
      </w:r>
    </w:p>
    <w:p w:rsidR="00B0776F" w:rsidRPr="00B0776F" w:rsidRDefault="00B0776F" w:rsidP="00B0776F">
      <w:pPr>
        <w:pStyle w:val="a8"/>
        <w:rPr>
          <w:rFonts w:cstheme="minorHAnsi"/>
        </w:rPr>
      </w:pPr>
    </w:p>
    <w:p w:rsidR="00947890" w:rsidRDefault="00947890" w:rsidP="0094789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9705C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>
            <wp:extent cx="3439309" cy="897622"/>
            <wp:effectExtent l="0" t="0" r="0" b="0"/>
            <wp:docPr id="15" name="Εικόνα 15" descr="Records Challen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rds Challeng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56215"/>
                    <a:stretch/>
                  </pic:blipFill>
                  <pic:spPr bwMode="auto">
                    <a:xfrm>
                      <a:off x="0" y="0"/>
                      <a:ext cx="3459098" cy="90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B0776F" w:rsidRDefault="00B0776F" w:rsidP="00947890">
      <w:pPr>
        <w:rPr>
          <w:rFonts w:ascii="Times New Roman" w:hAnsi="Times New Roman" w:cs="Times New Roman"/>
          <w:i/>
          <w:sz w:val="24"/>
          <w:szCs w:val="24"/>
        </w:rPr>
      </w:pPr>
    </w:p>
    <w:p w:rsidR="00947890" w:rsidRPr="002902F4" w:rsidRDefault="00B0776F" w:rsidP="0094789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(Στην εικόνα παραπάνω</w:t>
      </w:r>
      <w:r w:rsidR="00947890">
        <w:rPr>
          <w:rFonts w:ascii="Times New Roman" w:hAnsi="Times New Roman" w:cs="Times New Roman"/>
          <w:i/>
          <w:sz w:val="24"/>
          <w:szCs w:val="24"/>
        </w:rPr>
        <w:t xml:space="preserve"> φαίνονται τα κομμάτια του πεντόμινο που έχουν άξονα συμμετρίας)</w:t>
      </w:r>
    </w:p>
    <w:p w:rsidR="002D1F0A" w:rsidRDefault="002D1F0A" w:rsidP="002D1F0A">
      <w:pPr>
        <w:pStyle w:val="2"/>
      </w:pPr>
      <w:r w:rsidRPr="006B7EA3">
        <w:t>Έργο: «</w:t>
      </w:r>
      <w:r w:rsidRPr="00E6698F">
        <w:rPr>
          <w:rFonts w:cstheme="minorHAnsi"/>
        </w:rPr>
        <w:t>Πολυκατοικίες από κύβους</w:t>
      </w:r>
      <w:r w:rsidRPr="006B7EA3">
        <w:t>»</w:t>
      </w:r>
    </w:p>
    <w:p w:rsidR="002D1F0A" w:rsidRPr="00947890" w:rsidRDefault="002D1F0A" w:rsidP="002D1F0A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7"/>
        <w:gridCol w:w="2305"/>
        <w:gridCol w:w="1285"/>
        <w:gridCol w:w="2969"/>
        <w:gridCol w:w="1713"/>
        <w:gridCol w:w="3495"/>
      </w:tblGrid>
      <w:tr w:rsidR="002D1F0A" w:rsidRPr="005C184C" w:rsidTr="003357AE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1F0A" w:rsidRPr="005C184C" w:rsidTr="003357AE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85702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Δομή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ολλαπλά σημεία ‘εισόδου’, ποικιλία προσεγγίσεων/ στρατηγικών επίλυσης, πλαίσιο επ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προσβάσιμο σε όλους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2D1F0A" w:rsidRPr="005C184C" w:rsidTr="003357AE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του χώρου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1F0A" w:rsidRPr="005C184C" w:rsidTr="003357AE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1F0A" w:rsidRPr="005C184C" w:rsidTr="003357AE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1F0A" w:rsidRPr="005C184C" w:rsidTr="003357A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 κύβοι</w:t>
            </w:r>
          </w:p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2D1F0A" w:rsidRPr="005C184C" w:rsidTr="003357AE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 xml:space="preserve">Κοινωνικο-πολιτισμικές </w:t>
            </w: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lastRenderedPageBreak/>
              <w:t>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lastRenderedPageBreak/>
              <w:t xml:space="preserve">Να αποδίδουν αξία στις 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lastRenderedPageBreak/>
              <w:t>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2D1F0A" w:rsidRPr="005C184C" w:rsidTr="003357A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D1F0A" w:rsidRPr="005C184C" w:rsidRDefault="002D1F0A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Κοινωνικό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D1F0A" w:rsidRPr="005C184C" w:rsidRDefault="002D1F0A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2D1F0A" w:rsidRDefault="002D1F0A" w:rsidP="002D1F0A">
      <w:pPr>
        <w:rPr>
          <w:rFonts w:ascii="Times New Roman" w:hAnsi="Times New Roman" w:cs="Times New Roman"/>
          <w:b/>
          <w:lang w:val="en-GB"/>
        </w:rPr>
      </w:pPr>
    </w:p>
    <w:p w:rsidR="002D1F0A" w:rsidRPr="00E6698F" w:rsidRDefault="002D1F0A" w:rsidP="002D1F0A">
      <w:pPr>
        <w:rPr>
          <w:rFonts w:cstheme="minorHAnsi"/>
          <w:i/>
        </w:rPr>
      </w:pPr>
      <w:r w:rsidRPr="00E6698F">
        <w:rPr>
          <w:rFonts w:cstheme="minorHAnsi"/>
          <w:i/>
        </w:rPr>
        <w:t>(Οι μαθητές δουλεύουν σε ομάδες. Κάθε ομάδα έχει στη διάθεσή της διαφορετικό αριθμό κύβων.)</w:t>
      </w:r>
    </w:p>
    <w:p w:rsidR="002D1F0A" w:rsidRDefault="002D1F0A" w:rsidP="002D1F0A">
      <w:pPr>
        <w:pStyle w:val="a8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Χρησιμοποιήστε</w:t>
      </w:r>
      <w:r w:rsidRPr="00E6698F">
        <w:rPr>
          <w:rFonts w:cstheme="minorHAnsi"/>
        </w:rPr>
        <w:t xml:space="preserve"> όσους από </w:t>
      </w:r>
      <w:r>
        <w:rPr>
          <w:rFonts w:cstheme="minorHAnsi"/>
        </w:rPr>
        <w:t>τους κύβους θέλετε για να κατασκευάσετε</w:t>
      </w:r>
      <w:r w:rsidRPr="00E6698F">
        <w:rPr>
          <w:rFonts w:cstheme="minorHAnsi"/>
        </w:rPr>
        <w:t xml:space="preserve"> μια ‘πολυκατοικία’, η οποία θα έχει σχήμα ορθογωνίου παραλληλεπιπέδου. Κάθε κύβος θα αναπαριστά και ένα διαμέρισμα. </w:t>
      </w:r>
    </w:p>
    <w:p w:rsidR="002D1F0A" w:rsidRDefault="002D1F0A" w:rsidP="002D1F0A">
      <w:pPr>
        <w:pStyle w:val="a8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Πόσα διαμερίσματα έχει κάθε όροφος της πολυκατοικίας σας; Πόσους ορόφους έχει; Πόσα είναι όλα τα διαμερίσματα της πολυκατοικίας σας;</w:t>
      </w:r>
    </w:p>
    <w:p w:rsidR="002D1F0A" w:rsidRDefault="002D1F0A" w:rsidP="002D1F0A">
      <w:pPr>
        <w:pStyle w:val="a8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Μπορείτε να βρείτε από πόσα διαμερίσματα αποτελούνται οι πολυκατοικίες που κατασκεύασαν οι συμμαθητές σας;</w:t>
      </w:r>
    </w:p>
    <w:p w:rsidR="002D1F0A" w:rsidRDefault="002D1F0A" w:rsidP="002D1F0A">
      <w:pPr>
        <w:pStyle w:val="a8"/>
        <w:ind w:left="775"/>
        <w:rPr>
          <w:rFonts w:cstheme="minorHAnsi"/>
        </w:rPr>
      </w:pPr>
    </w:p>
    <w:p w:rsidR="002D1F0A" w:rsidRPr="002902F4" w:rsidRDefault="002D1F0A" w:rsidP="002D1F0A">
      <w:pPr>
        <w:pStyle w:val="a8"/>
        <w:ind w:left="0"/>
        <w:jc w:val="center"/>
        <w:rPr>
          <w:rFonts w:cstheme="minorHAnsi"/>
          <w:i/>
        </w:rPr>
      </w:pPr>
      <w:r w:rsidRPr="002902F4">
        <w:rPr>
          <w:rFonts w:cstheme="minorHAnsi"/>
          <w:i/>
        </w:rPr>
        <w:t>(Ενδεικτικές κατασκευές με κύβους)</w:t>
      </w:r>
    </w:p>
    <w:p w:rsidR="004049C8" w:rsidRPr="00F9705C" w:rsidRDefault="002D1F0A" w:rsidP="00747900">
      <w:pPr>
        <w:jc w:val="center"/>
        <w:rPr>
          <w:rFonts w:ascii="Times New Roman" w:hAnsi="Times New Roman" w:cs="Times New Roman"/>
          <w:b/>
        </w:rPr>
      </w:pPr>
      <w:r>
        <w:rPr>
          <w:rFonts w:cstheme="minorHAnsi"/>
          <w:noProof/>
          <w:lang w:eastAsia="el-GR"/>
        </w:rPr>
        <w:drawing>
          <wp:inline distT="0" distB="0" distL="0" distR="0">
            <wp:extent cx="2197916" cy="1298517"/>
            <wp:effectExtent l="0" t="0" r="0" b="0"/>
            <wp:docPr id="31" name="Εικόνα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073" cy="132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49C8" w:rsidRPr="00F9705C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1A6C"/>
    <w:rsid w:val="001320BF"/>
    <w:rsid w:val="001402D4"/>
    <w:rsid w:val="001415A8"/>
    <w:rsid w:val="001561B6"/>
    <w:rsid w:val="00173378"/>
    <w:rsid w:val="0017554D"/>
    <w:rsid w:val="00193F28"/>
    <w:rsid w:val="001942A6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1F0A"/>
    <w:rsid w:val="002D33CE"/>
    <w:rsid w:val="002D45B9"/>
    <w:rsid w:val="002E62D9"/>
    <w:rsid w:val="002E7732"/>
    <w:rsid w:val="002F59FA"/>
    <w:rsid w:val="003053D6"/>
    <w:rsid w:val="00311FD7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C1422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C184C"/>
    <w:rsid w:val="005C41AE"/>
    <w:rsid w:val="005E1AE9"/>
    <w:rsid w:val="005E58EC"/>
    <w:rsid w:val="005F045E"/>
    <w:rsid w:val="005F4A80"/>
    <w:rsid w:val="006012A3"/>
    <w:rsid w:val="00601307"/>
    <w:rsid w:val="00611F3B"/>
    <w:rsid w:val="00631A33"/>
    <w:rsid w:val="00643E3C"/>
    <w:rsid w:val="006969B5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C1F76"/>
    <w:rsid w:val="008F39E5"/>
    <w:rsid w:val="00900B74"/>
    <w:rsid w:val="00906B14"/>
    <w:rsid w:val="009111CB"/>
    <w:rsid w:val="00946501"/>
    <w:rsid w:val="00947890"/>
    <w:rsid w:val="00951E29"/>
    <w:rsid w:val="00964B7E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342D"/>
    <w:rsid w:val="00A7367E"/>
    <w:rsid w:val="00A743DA"/>
    <w:rsid w:val="00A8789D"/>
    <w:rsid w:val="00AB217F"/>
    <w:rsid w:val="00AC6005"/>
    <w:rsid w:val="00AD5008"/>
    <w:rsid w:val="00AE22A1"/>
    <w:rsid w:val="00AE6C9B"/>
    <w:rsid w:val="00AE71F1"/>
    <w:rsid w:val="00AF69C9"/>
    <w:rsid w:val="00AF7063"/>
    <w:rsid w:val="00B0731D"/>
    <w:rsid w:val="00B0776F"/>
    <w:rsid w:val="00B15645"/>
    <w:rsid w:val="00B333D9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1536D"/>
    <w:rsid w:val="00C22E17"/>
    <w:rsid w:val="00C236FE"/>
    <w:rsid w:val="00C27AE5"/>
    <w:rsid w:val="00C37041"/>
    <w:rsid w:val="00C46033"/>
    <w:rsid w:val="00C47CC6"/>
    <w:rsid w:val="00C547AC"/>
    <w:rsid w:val="00C561C3"/>
    <w:rsid w:val="00C73330"/>
    <w:rsid w:val="00CA37E7"/>
    <w:rsid w:val="00CC47B2"/>
    <w:rsid w:val="00CD7E28"/>
    <w:rsid w:val="00CF339D"/>
    <w:rsid w:val="00D032C4"/>
    <w:rsid w:val="00D379F2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B4E9F"/>
    <w:rsid w:val="00EB7435"/>
    <w:rsid w:val="00EC56DE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A7FAFE-A43E-48F4-825F-322A621453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EDB66E-B262-4005-A301-53E7A7ED3E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152F8-4895-4043-9283-2A93A243D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2022-12-08T11:24:00Z</dcterms:created>
  <dcterms:modified xsi:type="dcterms:W3CDTF">2022-12-08T11:24:00Z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